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4B13" w14:textId="77777777" w:rsidR="00D306D7" w:rsidRPr="00EC2C68" w:rsidRDefault="00D306D7" w:rsidP="00D306D7">
      <w:pPr>
        <w:tabs>
          <w:tab w:val="left" w:pos="5220"/>
        </w:tabs>
        <w:spacing w:after="0"/>
        <w:jc w:val="center"/>
        <w:rPr>
          <w:b/>
        </w:rPr>
      </w:pPr>
      <w:r w:rsidRPr="00EC2C68">
        <w:rPr>
          <w:b/>
        </w:rPr>
        <w:t>The MWRA Employees’ Retirement System</w:t>
      </w:r>
    </w:p>
    <w:p w14:paraId="1AB46C51" w14:textId="0160E22A" w:rsidR="00832794" w:rsidRDefault="00832794" w:rsidP="00832794">
      <w:pPr>
        <w:tabs>
          <w:tab w:val="left" w:pos="5220"/>
        </w:tabs>
        <w:spacing w:after="0"/>
        <w:jc w:val="center"/>
        <w:rPr>
          <w:b/>
        </w:rPr>
      </w:pPr>
      <w:r>
        <w:rPr>
          <w:b/>
        </w:rPr>
        <w:t xml:space="preserve">Private </w:t>
      </w:r>
      <w:r w:rsidR="00BB2EDD">
        <w:rPr>
          <w:b/>
        </w:rPr>
        <w:t>Opportunistic Credit Strategy</w:t>
      </w:r>
    </w:p>
    <w:p w14:paraId="1E99B872" w14:textId="34CB140A" w:rsidR="00EC2C68" w:rsidRDefault="005045D1" w:rsidP="00EC2C68">
      <w:pPr>
        <w:tabs>
          <w:tab w:val="left" w:pos="5220"/>
        </w:tabs>
        <w:spacing w:after="0"/>
        <w:jc w:val="center"/>
        <w:rPr>
          <w:b/>
        </w:rPr>
      </w:pPr>
      <w:r w:rsidRPr="00EC2C68">
        <w:rPr>
          <w:b/>
        </w:rPr>
        <w:t>Request for Proposal</w:t>
      </w:r>
    </w:p>
    <w:p w14:paraId="1380854F" w14:textId="29F106AC" w:rsidR="00D306D7" w:rsidRPr="00EC2C68" w:rsidRDefault="00D306D7" w:rsidP="00EC2C68">
      <w:pPr>
        <w:tabs>
          <w:tab w:val="left" w:pos="5220"/>
        </w:tabs>
        <w:spacing w:after="0"/>
        <w:jc w:val="center"/>
        <w:rPr>
          <w:b/>
        </w:rPr>
      </w:pPr>
      <w:r w:rsidRPr="00EC2C68">
        <w:rPr>
          <w:b/>
        </w:rPr>
        <w:t>________________________________</w:t>
      </w:r>
    </w:p>
    <w:p w14:paraId="1EC71461" w14:textId="77777777" w:rsidR="00482047" w:rsidRPr="00D306D7" w:rsidRDefault="00482047" w:rsidP="00482047">
      <w:pPr>
        <w:spacing w:after="0" w:line="240" w:lineRule="auto"/>
        <w:jc w:val="center"/>
        <w:rPr>
          <w:b/>
          <w:sz w:val="20"/>
          <w:szCs w:val="20"/>
        </w:rPr>
      </w:pPr>
    </w:p>
    <w:p w14:paraId="2E8A1FAE" w14:textId="736251EF" w:rsidR="00832794" w:rsidRPr="003B49C5" w:rsidRDefault="00832794" w:rsidP="00832794">
      <w:pPr>
        <w:jc w:val="both"/>
        <w:rPr>
          <w:rFonts w:asciiTheme="majorHAnsi" w:hAnsiTheme="majorHAnsi"/>
          <w:sz w:val="20"/>
          <w:szCs w:val="20"/>
        </w:rPr>
      </w:pPr>
      <w:bookmarkStart w:id="0" w:name="_Hlk71013853"/>
      <w:bookmarkStart w:id="1" w:name="_Hlk180678388"/>
      <w:r w:rsidRPr="00BE3032">
        <w:rPr>
          <w:rFonts w:asciiTheme="majorHAnsi" w:hAnsiTheme="majorHAnsi"/>
          <w:sz w:val="20"/>
          <w:szCs w:val="20"/>
        </w:rPr>
        <w:t xml:space="preserve">The Massachusetts Water Resource Authority Employees’ Retirement System (the “System”) is accepting proposals from investment firms to manage a </w:t>
      </w:r>
      <w:r w:rsidRPr="00B462CD">
        <w:rPr>
          <w:rFonts w:asciiTheme="majorHAnsi" w:hAnsiTheme="majorHAnsi"/>
          <w:sz w:val="20"/>
          <w:szCs w:val="20"/>
        </w:rPr>
        <w:t xml:space="preserve">Private </w:t>
      </w:r>
      <w:r w:rsidR="00BB2EDD">
        <w:rPr>
          <w:rFonts w:asciiTheme="majorHAnsi" w:hAnsiTheme="majorHAnsi"/>
          <w:sz w:val="20"/>
          <w:szCs w:val="20"/>
        </w:rPr>
        <w:t>Opportunistic Credit</w:t>
      </w:r>
      <w:r w:rsidRPr="00B462CD">
        <w:rPr>
          <w:rFonts w:asciiTheme="majorHAnsi" w:hAnsiTheme="majorHAnsi"/>
          <w:sz w:val="20"/>
          <w:szCs w:val="20"/>
        </w:rPr>
        <w:t xml:space="preserve"> </w:t>
      </w:r>
      <w:r w:rsidRPr="00BE3032">
        <w:rPr>
          <w:rFonts w:asciiTheme="majorHAnsi" w:hAnsiTheme="majorHAnsi"/>
          <w:sz w:val="20"/>
          <w:szCs w:val="20"/>
        </w:rPr>
        <w:t xml:space="preserve">mandate for the System's </w:t>
      </w:r>
      <w:r w:rsidR="00BB2EDD">
        <w:rPr>
          <w:rFonts w:asciiTheme="majorHAnsi" w:hAnsiTheme="majorHAnsi"/>
          <w:sz w:val="20"/>
          <w:szCs w:val="20"/>
        </w:rPr>
        <w:t>~</w:t>
      </w:r>
      <w:r w:rsidRPr="00BE3032">
        <w:rPr>
          <w:rFonts w:asciiTheme="majorHAnsi" w:hAnsiTheme="majorHAnsi"/>
          <w:sz w:val="20"/>
          <w:szCs w:val="20"/>
        </w:rPr>
        <w:t>$</w:t>
      </w:r>
      <w:r>
        <w:rPr>
          <w:rFonts w:asciiTheme="majorHAnsi" w:hAnsiTheme="majorHAnsi"/>
          <w:sz w:val="20"/>
          <w:szCs w:val="20"/>
        </w:rPr>
        <w:t>7</w:t>
      </w:r>
      <w:r w:rsidR="003B7652">
        <w:rPr>
          <w:rFonts w:asciiTheme="majorHAnsi" w:hAnsiTheme="majorHAnsi"/>
          <w:sz w:val="20"/>
          <w:szCs w:val="20"/>
        </w:rPr>
        <w:t>1</w:t>
      </w:r>
      <w:r w:rsidR="00BB2EDD">
        <w:rPr>
          <w:rFonts w:asciiTheme="majorHAnsi" w:hAnsiTheme="majorHAnsi"/>
          <w:sz w:val="20"/>
          <w:szCs w:val="20"/>
        </w:rPr>
        <w:t>0</w:t>
      </w:r>
      <w:r w:rsidRPr="00BE3032">
        <w:rPr>
          <w:rFonts w:asciiTheme="majorHAnsi" w:hAnsiTheme="majorHAnsi"/>
          <w:sz w:val="20"/>
          <w:szCs w:val="20"/>
        </w:rPr>
        <w:t xml:space="preserve"> million, defined benefit pension fund. To be considered, candidates must be raising </w:t>
      </w:r>
      <w:r w:rsidR="00BB2EDD" w:rsidRPr="00BE3032">
        <w:rPr>
          <w:rFonts w:asciiTheme="majorHAnsi" w:hAnsiTheme="majorHAnsi"/>
          <w:sz w:val="20"/>
          <w:szCs w:val="20"/>
        </w:rPr>
        <w:t>a</w:t>
      </w:r>
      <w:r w:rsidRPr="00BE3032">
        <w:rPr>
          <w:rFonts w:asciiTheme="majorHAnsi" w:hAnsiTheme="majorHAnsi"/>
          <w:sz w:val="20"/>
          <w:szCs w:val="20"/>
        </w:rPr>
        <w:t xml:space="preserve"> </w:t>
      </w:r>
      <w:r>
        <w:rPr>
          <w:rFonts w:asciiTheme="majorHAnsi" w:hAnsiTheme="majorHAnsi"/>
          <w:sz w:val="20"/>
          <w:szCs w:val="20"/>
        </w:rPr>
        <w:t>p</w:t>
      </w:r>
      <w:r w:rsidRPr="00B462CD">
        <w:rPr>
          <w:rFonts w:asciiTheme="majorHAnsi" w:hAnsiTheme="majorHAnsi"/>
          <w:sz w:val="20"/>
          <w:szCs w:val="20"/>
        </w:rPr>
        <w:t xml:space="preserve">rivate </w:t>
      </w:r>
      <w:r w:rsidR="003B7652">
        <w:rPr>
          <w:rFonts w:asciiTheme="majorHAnsi" w:hAnsiTheme="majorHAnsi"/>
          <w:sz w:val="20"/>
          <w:szCs w:val="20"/>
        </w:rPr>
        <w:t xml:space="preserve">niche or </w:t>
      </w:r>
      <w:r w:rsidR="00BB2EDD">
        <w:rPr>
          <w:rFonts w:asciiTheme="majorHAnsi" w:hAnsiTheme="majorHAnsi"/>
          <w:sz w:val="20"/>
          <w:szCs w:val="20"/>
        </w:rPr>
        <w:t>opportunistic credit</w:t>
      </w:r>
      <w:r w:rsidRPr="00B462CD">
        <w:rPr>
          <w:rFonts w:asciiTheme="majorHAnsi" w:hAnsiTheme="majorHAnsi"/>
          <w:sz w:val="20"/>
          <w:szCs w:val="20"/>
        </w:rPr>
        <w:t xml:space="preserve"> </w:t>
      </w:r>
      <w:r w:rsidR="00EB42EA">
        <w:rPr>
          <w:rFonts w:asciiTheme="majorHAnsi" w:hAnsiTheme="majorHAnsi"/>
          <w:sz w:val="20"/>
          <w:szCs w:val="20"/>
        </w:rPr>
        <w:t>drawdown fund</w:t>
      </w:r>
      <w:r w:rsidR="003B7652">
        <w:rPr>
          <w:rFonts w:asciiTheme="majorHAnsi" w:hAnsiTheme="majorHAnsi"/>
          <w:sz w:val="20"/>
          <w:szCs w:val="20"/>
        </w:rPr>
        <w:t>s only</w:t>
      </w:r>
      <w:r w:rsidRPr="00BE3032">
        <w:rPr>
          <w:rFonts w:asciiTheme="majorHAnsi" w:hAnsiTheme="majorHAnsi"/>
          <w:sz w:val="20"/>
          <w:szCs w:val="20"/>
        </w:rPr>
        <w:t xml:space="preserve">. The System anticipates committing </w:t>
      </w:r>
      <w:r>
        <w:rPr>
          <w:rFonts w:asciiTheme="majorHAnsi" w:hAnsiTheme="majorHAnsi"/>
          <w:sz w:val="20"/>
          <w:szCs w:val="20"/>
        </w:rPr>
        <w:t xml:space="preserve">up to $14 </w:t>
      </w:r>
      <w:r w:rsidRPr="00BE3032">
        <w:rPr>
          <w:rFonts w:asciiTheme="majorHAnsi" w:hAnsiTheme="majorHAnsi"/>
          <w:sz w:val="20"/>
          <w:szCs w:val="20"/>
        </w:rPr>
        <w:t xml:space="preserve">million for this mandate. </w:t>
      </w:r>
      <w:bookmarkEnd w:id="0"/>
      <w:bookmarkEnd w:id="1"/>
    </w:p>
    <w:p w14:paraId="17915A6D" w14:textId="77777777" w:rsidR="00BE5C51" w:rsidRPr="00BE3032" w:rsidRDefault="00BE5C51" w:rsidP="00BE5C51">
      <w:pPr>
        <w:spacing w:after="120"/>
        <w:jc w:val="both"/>
        <w:rPr>
          <w:rFonts w:asciiTheme="majorHAnsi" w:hAnsiTheme="majorHAnsi"/>
          <w:sz w:val="20"/>
          <w:szCs w:val="20"/>
        </w:rPr>
      </w:pPr>
      <w:r w:rsidRPr="00BE3032">
        <w:rPr>
          <w:rFonts w:asciiTheme="majorHAnsi" w:hAnsiTheme="majorHAnsi"/>
          <w:sz w:val="20"/>
          <w:szCs w:val="20"/>
        </w:rPr>
        <w:t>In order to be considered, candidates must meet the following criteria:</w:t>
      </w:r>
    </w:p>
    <w:p w14:paraId="3EF2D0AE" w14:textId="135D0A3E" w:rsidR="00BE3032" w:rsidRPr="00BE3032" w:rsidRDefault="00BE3032" w:rsidP="00BE3032">
      <w:pPr>
        <w:pStyle w:val="ListParagraph"/>
        <w:numPr>
          <w:ilvl w:val="0"/>
          <w:numId w:val="1"/>
        </w:numPr>
        <w:spacing w:before="120" w:after="0" w:line="240" w:lineRule="auto"/>
        <w:ind w:left="360"/>
        <w:jc w:val="both"/>
        <w:rPr>
          <w:rFonts w:asciiTheme="majorHAnsi" w:hAnsiTheme="majorHAnsi"/>
          <w:sz w:val="20"/>
          <w:szCs w:val="20"/>
        </w:rPr>
      </w:pPr>
      <w:r w:rsidRPr="00BE3032">
        <w:rPr>
          <w:rFonts w:asciiTheme="majorHAnsi" w:hAnsiTheme="majorHAnsi"/>
          <w:sz w:val="20"/>
          <w:szCs w:val="20"/>
        </w:rPr>
        <w:t xml:space="preserve">Candidates </w:t>
      </w:r>
      <w:r w:rsidRPr="00BE3032">
        <w:rPr>
          <w:rFonts w:asciiTheme="majorHAnsi" w:hAnsiTheme="majorHAnsi"/>
          <w:b/>
          <w:sz w:val="20"/>
          <w:szCs w:val="20"/>
        </w:rPr>
        <w:t>must have familiarity with and agree to comply (in writing</w:t>
      </w:r>
      <w:r w:rsidR="00BB2EDD">
        <w:rPr>
          <w:rFonts w:asciiTheme="majorHAnsi" w:hAnsiTheme="majorHAnsi"/>
          <w:b/>
          <w:sz w:val="20"/>
          <w:szCs w:val="20"/>
        </w:rPr>
        <w:t xml:space="preserve"> via cover letter</w:t>
      </w:r>
      <w:r w:rsidRPr="00BE3032">
        <w:rPr>
          <w:rFonts w:asciiTheme="majorHAnsi" w:hAnsiTheme="majorHAnsi"/>
          <w:b/>
          <w:sz w:val="20"/>
          <w:szCs w:val="20"/>
        </w:rPr>
        <w:t>)</w:t>
      </w:r>
      <w:r w:rsidRPr="00BE3032">
        <w:rPr>
          <w:rFonts w:asciiTheme="majorHAnsi" w:hAnsiTheme="majorHAnsi"/>
          <w:sz w:val="20"/>
          <w:szCs w:val="20"/>
        </w:rPr>
        <w:t xml:space="preserve"> with Massachusetts G.L. Chapter 32 and Chapter 176 of the Acts of 2011.  Additionally, candidates must have familiarity and agree to comply with the reporting and investment guidelines administered by PERAC.  Guidelines can be found in the attached links.</w:t>
      </w:r>
    </w:p>
    <w:p w14:paraId="043C7A35" w14:textId="77777777" w:rsidR="00BE3032" w:rsidRPr="00BE3032" w:rsidRDefault="00BE3032" w:rsidP="00BE3032">
      <w:pPr>
        <w:pStyle w:val="ListParagraph"/>
        <w:spacing w:before="120"/>
        <w:ind w:left="360"/>
        <w:jc w:val="both"/>
        <w:rPr>
          <w:rStyle w:val="Hyperlink"/>
          <w:rFonts w:asciiTheme="majorHAnsi" w:hAnsiTheme="majorHAnsi"/>
          <w:sz w:val="20"/>
          <w:szCs w:val="20"/>
        </w:rPr>
      </w:pPr>
      <w:hyperlink r:id="rId8" w:history="1">
        <w:r w:rsidRPr="00BE3032">
          <w:rPr>
            <w:rStyle w:val="Hyperlink"/>
            <w:rFonts w:asciiTheme="majorHAnsi" w:hAnsiTheme="majorHAnsi"/>
            <w:sz w:val="20"/>
            <w:szCs w:val="20"/>
          </w:rPr>
          <w:t>https://malegislature.gov/Laws/SessionLaws/Acts/2011/Chapter176</w:t>
        </w:r>
      </w:hyperlink>
    </w:p>
    <w:p w14:paraId="1F28F250" w14:textId="77777777" w:rsidR="00BE3032" w:rsidRPr="00BE3032" w:rsidRDefault="00BE3032" w:rsidP="00BE3032">
      <w:pPr>
        <w:pStyle w:val="ListParagraph"/>
        <w:spacing w:before="120"/>
        <w:ind w:left="360"/>
        <w:jc w:val="both"/>
        <w:rPr>
          <w:rStyle w:val="Hyperlink"/>
          <w:rFonts w:asciiTheme="majorHAnsi" w:hAnsiTheme="majorHAnsi"/>
          <w:sz w:val="20"/>
          <w:szCs w:val="20"/>
        </w:rPr>
      </w:pPr>
      <w:hyperlink r:id="rId9" w:history="1">
        <w:r w:rsidRPr="00BE3032">
          <w:rPr>
            <w:rStyle w:val="Hyperlink"/>
            <w:rFonts w:asciiTheme="majorHAnsi" w:hAnsiTheme="majorHAnsi"/>
            <w:sz w:val="20"/>
            <w:szCs w:val="20"/>
          </w:rPr>
          <w:t>https://malegislature.gov/Laws/GeneralLaws/PartI/TitleIV/Chapter32</w:t>
        </w:r>
      </w:hyperlink>
    </w:p>
    <w:p w14:paraId="38CD9784" w14:textId="77777777" w:rsidR="00BE3032" w:rsidRPr="00BE3032" w:rsidRDefault="00BE3032" w:rsidP="00BE3032">
      <w:pPr>
        <w:pStyle w:val="ListParagraph"/>
        <w:numPr>
          <w:ilvl w:val="0"/>
          <w:numId w:val="1"/>
        </w:numPr>
        <w:spacing w:after="120" w:line="240" w:lineRule="auto"/>
        <w:ind w:left="360"/>
        <w:contextualSpacing w:val="0"/>
        <w:jc w:val="both"/>
        <w:rPr>
          <w:rFonts w:asciiTheme="majorHAnsi" w:hAnsiTheme="majorHAnsi"/>
          <w:sz w:val="20"/>
          <w:szCs w:val="20"/>
        </w:rPr>
      </w:pPr>
      <w:r w:rsidRPr="00BE3032">
        <w:rPr>
          <w:rFonts w:asciiTheme="majorHAnsi" w:hAnsiTheme="majorHAnsi"/>
          <w:sz w:val="20"/>
          <w:szCs w:val="20"/>
        </w:rPr>
        <w:t>Candidates must be registered with the Securities and Exchange Commission or with the Secretary of State where the firm is domiciled.</w:t>
      </w:r>
    </w:p>
    <w:p w14:paraId="423A8123" w14:textId="0ED684B1" w:rsidR="00BE3032" w:rsidRPr="00BE3032" w:rsidRDefault="00BE3032" w:rsidP="00BE3032">
      <w:pPr>
        <w:pStyle w:val="ListParagraph"/>
        <w:numPr>
          <w:ilvl w:val="0"/>
          <w:numId w:val="1"/>
        </w:numPr>
        <w:spacing w:after="120"/>
        <w:ind w:left="360"/>
        <w:contextualSpacing w:val="0"/>
        <w:rPr>
          <w:rFonts w:asciiTheme="majorHAnsi" w:hAnsiTheme="majorHAnsi"/>
          <w:sz w:val="20"/>
          <w:szCs w:val="20"/>
        </w:rPr>
      </w:pPr>
      <w:r w:rsidRPr="00BE3032">
        <w:rPr>
          <w:rFonts w:asciiTheme="majorHAnsi" w:hAnsiTheme="majorHAnsi"/>
          <w:sz w:val="20"/>
          <w:szCs w:val="20"/>
        </w:rPr>
        <w:t>Candidates must r</w:t>
      </w:r>
      <w:r w:rsidR="005A3507">
        <w:rPr>
          <w:rFonts w:asciiTheme="majorHAnsi" w:hAnsiTheme="majorHAnsi"/>
          <w:sz w:val="20"/>
          <w:szCs w:val="20"/>
        </w:rPr>
        <w:t>eview</w:t>
      </w:r>
      <w:r w:rsidRPr="00BE3032">
        <w:rPr>
          <w:rFonts w:asciiTheme="majorHAnsi" w:hAnsiTheme="majorHAnsi"/>
          <w:sz w:val="20"/>
          <w:szCs w:val="20"/>
        </w:rPr>
        <w:t xml:space="preserve"> and agree to the attached side letter pertaining to mandatory contractual language, based on the guidelines above.</w:t>
      </w:r>
    </w:p>
    <w:p w14:paraId="597901EA" w14:textId="77777777" w:rsidR="00BE3032" w:rsidRPr="00BE3032" w:rsidRDefault="00BE3032" w:rsidP="00BE3032">
      <w:pPr>
        <w:pStyle w:val="ListParagraph"/>
        <w:numPr>
          <w:ilvl w:val="0"/>
          <w:numId w:val="1"/>
        </w:numPr>
        <w:spacing w:after="120" w:line="240" w:lineRule="auto"/>
        <w:ind w:left="360"/>
        <w:contextualSpacing w:val="0"/>
        <w:jc w:val="both"/>
        <w:rPr>
          <w:rFonts w:asciiTheme="majorHAnsi" w:hAnsiTheme="majorHAnsi"/>
          <w:sz w:val="20"/>
          <w:szCs w:val="20"/>
        </w:rPr>
      </w:pPr>
      <w:r w:rsidRPr="00BE3032">
        <w:rPr>
          <w:rFonts w:asciiTheme="majorHAnsi" w:hAnsiTheme="majorHAnsi"/>
          <w:sz w:val="20"/>
          <w:szCs w:val="20"/>
        </w:rPr>
        <w:t>Preference will be given to candidates that have raised at least one prior fund for the proposed strategy, however, this is subject to the Boards discretion.</w:t>
      </w:r>
    </w:p>
    <w:p w14:paraId="124B64EC" w14:textId="63BC7E22" w:rsidR="00BE3032" w:rsidRPr="00BE3032" w:rsidRDefault="00BE3032" w:rsidP="00BE3032">
      <w:pPr>
        <w:pStyle w:val="ListParagraph"/>
        <w:numPr>
          <w:ilvl w:val="0"/>
          <w:numId w:val="1"/>
        </w:numPr>
        <w:spacing w:after="120" w:line="240" w:lineRule="auto"/>
        <w:ind w:left="360"/>
        <w:contextualSpacing w:val="0"/>
        <w:jc w:val="both"/>
        <w:rPr>
          <w:rFonts w:asciiTheme="majorHAnsi" w:hAnsiTheme="majorHAnsi"/>
          <w:sz w:val="20"/>
          <w:szCs w:val="20"/>
        </w:rPr>
      </w:pPr>
      <w:r w:rsidRPr="00BE3032">
        <w:rPr>
          <w:rFonts w:asciiTheme="majorHAnsi" w:hAnsiTheme="majorHAnsi"/>
          <w:sz w:val="20"/>
          <w:szCs w:val="20"/>
        </w:rPr>
        <w:t xml:space="preserve">The final close date of the proposed fund must be no earlier than </w:t>
      </w:r>
      <w:r w:rsidR="00832794">
        <w:rPr>
          <w:rFonts w:asciiTheme="majorHAnsi" w:hAnsiTheme="majorHAnsi"/>
          <w:sz w:val="20"/>
          <w:szCs w:val="20"/>
        </w:rPr>
        <w:t xml:space="preserve">September </w:t>
      </w:r>
      <w:r w:rsidRPr="00BE3032">
        <w:rPr>
          <w:rFonts w:asciiTheme="majorHAnsi" w:hAnsiTheme="majorHAnsi"/>
          <w:sz w:val="20"/>
          <w:szCs w:val="20"/>
        </w:rPr>
        <w:t>202</w:t>
      </w:r>
      <w:r w:rsidR="00832794">
        <w:rPr>
          <w:rFonts w:asciiTheme="majorHAnsi" w:hAnsiTheme="majorHAnsi"/>
          <w:sz w:val="20"/>
          <w:szCs w:val="20"/>
        </w:rPr>
        <w:t>5</w:t>
      </w:r>
      <w:r w:rsidRPr="00BE3032">
        <w:rPr>
          <w:rFonts w:asciiTheme="majorHAnsi" w:hAnsiTheme="majorHAnsi"/>
          <w:sz w:val="20"/>
          <w:szCs w:val="20"/>
        </w:rPr>
        <w:t>.</w:t>
      </w:r>
    </w:p>
    <w:p w14:paraId="716B6F53" w14:textId="10AB6BFC" w:rsidR="00BE3032" w:rsidRPr="00BE3032" w:rsidRDefault="00BE3032" w:rsidP="00BE3032">
      <w:pPr>
        <w:pStyle w:val="ListParagraph"/>
        <w:numPr>
          <w:ilvl w:val="0"/>
          <w:numId w:val="1"/>
        </w:numPr>
        <w:spacing w:after="120" w:line="240" w:lineRule="auto"/>
        <w:ind w:left="360"/>
        <w:contextualSpacing w:val="0"/>
        <w:jc w:val="both"/>
        <w:rPr>
          <w:rFonts w:asciiTheme="majorHAnsi" w:hAnsiTheme="majorHAnsi"/>
          <w:sz w:val="20"/>
          <w:szCs w:val="20"/>
        </w:rPr>
      </w:pPr>
      <w:r w:rsidRPr="00BE3032">
        <w:rPr>
          <w:rFonts w:asciiTheme="majorHAnsi" w:hAnsiTheme="majorHAnsi"/>
          <w:sz w:val="20"/>
          <w:szCs w:val="20"/>
        </w:rPr>
        <w:t>It is preferred that the proposed fund is raising at least $</w:t>
      </w:r>
      <w:r w:rsidR="00BB2EDD">
        <w:rPr>
          <w:rFonts w:asciiTheme="majorHAnsi" w:hAnsiTheme="majorHAnsi"/>
          <w:sz w:val="20"/>
          <w:szCs w:val="20"/>
        </w:rPr>
        <w:t>5</w:t>
      </w:r>
      <w:r w:rsidRPr="00BE3032">
        <w:rPr>
          <w:rFonts w:asciiTheme="majorHAnsi" w:hAnsiTheme="majorHAnsi"/>
          <w:sz w:val="20"/>
          <w:szCs w:val="20"/>
        </w:rPr>
        <w:t>00 million, however, lower amounts may be considered at the Boards discretion.</w:t>
      </w:r>
    </w:p>
    <w:p w14:paraId="419AA8D5" w14:textId="0FBC876A" w:rsidR="00BE3032" w:rsidRDefault="00BE3032" w:rsidP="00BE3032">
      <w:pPr>
        <w:pStyle w:val="ListParagraph"/>
        <w:numPr>
          <w:ilvl w:val="0"/>
          <w:numId w:val="1"/>
        </w:numPr>
        <w:spacing w:after="120" w:line="240" w:lineRule="auto"/>
        <w:ind w:left="360"/>
        <w:contextualSpacing w:val="0"/>
        <w:jc w:val="both"/>
        <w:rPr>
          <w:rFonts w:asciiTheme="majorHAnsi" w:hAnsiTheme="majorHAnsi"/>
          <w:sz w:val="20"/>
          <w:szCs w:val="20"/>
        </w:rPr>
      </w:pPr>
      <w:r w:rsidRPr="00BE3032">
        <w:rPr>
          <w:rFonts w:asciiTheme="majorHAnsi" w:hAnsiTheme="majorHAnsi"/>
          <w:sz w:val="20"/>
          <w:szCs w:val="20"/>
        </w:rPr>
        <w:t>Candidates must complete the attached RFI, along with each appendix</w:t>
      </w:r>
      <w:r w:rsidR="008149F0">
        <w:rPr>
          <w:rFonts w:asciiTheme="majorHAnsi" w:hAnsiTheme="majorHAnsi"/>
          <w:sz w:val="20"/>
          <w:szCs w:val="20"/>
        </w:rPr>
        <w:t xml:space="preserve"> and the strategy template</w:t>
      </w:r>
      <w:r w:rsidR="00392D26">
        <w:rPr>
          <w:rFonts w:asciiTheme="majorHAnsi" w:hAnsiTheme="majorHAnsi"/>
          <w:sz w:val="20"/>
          <w:szCs w:val="20"/>
        </w:rPr>
        <w:t xml:space="preserve"> with performance as of </w:t>
      </w:r>
      <w:r w:rsidR="00832794">
        <w:rPr>
          <w:rFonts w:asciiTheme="majorHAnsi" w:hAnsiTheme="majorHAnsi"/>
          <w:sz w:val="20"/>
          <w:szCs w:val="20"/>
        </w:rPr>
        <w:t>December</w:t>
      </w:r>
      <w:r w:rsidR="00392D26">
        <w:rPr>
          <w:rFonts w:asciiTheme="majorHAnsi" w:hAnsiTheme="majorHAnsi"/>
          <w:sz w:val="20"/>
          <w:szCs w:val="20"/>
        </w:rPr>
        <w:t xml:space="preserve"> 3</w:t>
      </w:r>
      <w:r w:rsidR="00832794">
        <w:rPr>
          <w:rFonts w:asciiTheme="majorHAnsi" w:hAnsiTheme="majorHAnsi"/>
          <w:sz w:val="20"/>
          <w:szCs w:val="20"/>
        </w:rPr>
        <w:t>1</w:t>
      </w:r>
      <w:r w:rsidR="00392D26">
        <w:rPr>
          <w:rFonts w:asciiTheme="majorHAnsi" w:hAnsiTheme="majorHAnsi"/>
          <w:sz w:val="20"/>
          <w:szCs w:val="20"/>
        </w:rPr>
        <w:t>, 2024.</w:t>
      </w:r>
    </w:p>
    <w:p w14:paraId="248FEC6E" w14:textId="21A74EB3" w:rsidR="005A3507" w:rsidRPr="00BE3032" w:rsidRDefault="005A3507" w:rsidP="00BE3032">
      <w:pPr>
        <w:pStyle w:val="ListParagraph"/>
        <w:numPr>
          <w:ilvl w:val="0"/>
          <w:numId w:val="1"/>
        </w:numPr>
        <w:spacing w:after="120" w:line="240" w:lineRule="auto"/>
        <w:ind w:left="360"/>
        <w:contextualSpacing w:val="0"/>
        <w:jc w:val="both"/>
        <w:rPr>
          <w:rFonts w:asciiTheme="majorHAnsi" w:hAnsiTheme="majorHAnsi"/>
          <w:sz w:val="20"/>
          <w:szCs w:val="20"/>
        </w:rPr>
      </w:pPr>
      <w:r>
        <w:rPr>
          <w:rFonts w:asciiTheme="majorHAnsi" w:hAnsiTheme="majorHAnsi"/>
          <w:sz w:val="20"/>
          <w:szCs w:val="20"/>
        </w:rPr>
        <w:t xml:space="preserve">ALL responses must be accompanied by a cover letter, </w:t>
      </w:r>
      <w:r w:rsidR="003043B3">
        <w:rPr>
          <w:rFonts w:asciiTheme="majorHAnsi" w:hAnsiTheme="majorHAnsi"/>
          <w:sz w:val="20"/>
          <w:szCs w:val="20"/>
        </w:rPr>
        <w:t>c</w:t>
      </w:r>
      <w:r>
        <w:rPr>
          <w:rFonts w:asciiTheme="majorHAnsi" w:hAnsiTheme="majorHAnsi"/>
          <w:sz w:val="20"/>
          <w:szCs w:val="20"/>
        </w:rPr>
        <w:t>onfirming adherence to the requested information.</w:t>
      </w:r>
      <w:r w:rsidR="003043B3">
        <w:rPr>
          <w:rFonts w:asciiTheme="majorHAnsi" w:hAnsiTheme="majorHAnsi"/>
          <w:sz w:val="20"/>
          <w:szCs w:val="20"/>
        </w:rPr>
        <w:t xml:space="preserve"> </w:t>
      </w:r>
      <w:r w:rsidR="003043B3" w:rsidRPr="00BE3032">
        <w:rPr>
          <w:rFonts w:asciiTheme="majorHAnsi" w:hAnsiTheme="majorHAnsi"/>
          <w:sz w:val="20"/>
          <w:szCs w:val="20"/>
        </w:rPr>
        <w:t>Incomplete responses may be rejected.</w:t>
      </w:r>
    </w:p>
    <w:p w14:paraId="725F6D71" w14:textId="77777777" w:rsidR="00BE5C51" w:rsidRPr="00BE3032" w:rsidRDefault="00BE5C51" w:rsidP="00BE5C51">
      <w:pPr>
        <w:jc w:val="both"/>
        <w:rPr>
          <w:rFonts w:asciiTheme="majorHAnsi" w:hAnsiTheme="majorHAnsi"/>
          <w:sz w:val="20"/>
          <w:szCs w:val="20"/>
        </w:rPr>
      </w:pPr>
      <w:r w:rsidRPr="00BE3032">
        <w:rPr>
          <w:rFonts w:asciiTheme="majorHAnsi" w:hAnsiTheme="majorHAnsi"/>
          <w:sz w:val="20"/>
          <w:szCs w:val="20"/>
        </w:rPr>
        <w:t>By submitting a formal response to this RFP, the Manager acknowledges that the Investor, MWRA Employees’ Retirement System, is bound by both Massachusetts Open Meeting Law as governed by Massachusetts General Laws Chapter 30A § 18-25 and 940 CMR 29.00, and the Massachusetts Public Records Law as governed by Massachusetts General Laws Chapter 66 and 950 CMR 32.00.  All materials submitted in connection with this search may be subject to disclosure consistent with Massachusetts Public Records Law.</w:t>
      </w:r>
    </w:p>
    <w:p w14:paraId="51F68541" w14:textId="58451ED6" w:rsidR="00BE5C51" w:rsidRPr="00BE3032" w:rsidRDefault="00BE5C51" w:rsidP="00BE5C51">
      <w:pPr>
        <w:jc w:val="both"/>
        <w:rPr>
          <w:rFonts w:asciiTheme="majorHAnsi" w:hAnsiTheme="majorHAnsi"/>
          <w:sz w:val="20"/>
          <w:szCs w:val="20"/>
        </w:rPr>
      </w:pPr>
      <w:r w:rsidRPr="00BE3032">
        <w:rPr>
          <w:rFonts w:asciiTheme="majorHAnsi" w:hAnsiTheme="majorHAnsi"/>
          <w:sz w:val="20"/>
          <w:szCs w:val="20"/>
        </w:rPr>
        <w:t xml:space="preserve">To access the RFP and required forms, please visit the website of NEPC, LLC at </w:t>
      </w:r>
      <w:hyperlink r:id="rId10" w:history="1">
        <w:r w:rsidRPr="00BE3032">
          <w:rPr>
            <w:rStyle w:val="Hyperlink"/>
            <w:rFonts w:asciiTheme="majorHAnsi" w:hAnsiTheme="majorHAnsi"/>
            <w:sz w:val="20"/>
            <w:szCs w:val="20"/>
          </w:rPr>
          <w:t>www.nepc.com/institutional/investment-managers/</w:t>
        </w:r>
      </w:hyperlink>
      <w:r w:rsidRPr="00BE3032">
        <w:rPr>
          <w:rFonts w:asciiTheme="majorHAnsi" w:hAnsiTheme="majorHAnsi"/>
          <w:sz w:val="20"/>
          <w:szCs w:val="20"/>
        </w:rPr>
        <w:t>. The Board reserves the right to cancel or reject in whole or part</w:t>
      </w:r>
      <w:r w:rsidR="003B02F0" w:rsidRPr="00BE3032">
        <w:rPr>
          <w:rFonts w:asciiTheme="majorHAnsi" w:hAnsiTheme="majorHAnsi"/>
          <w:sz w:val="20"/>
          <w:szCs w:val="20"/>
        </w:rPr>
        <w:t>,</w:t>
      </w:r>
      <w:r w:rsidRPr="00BE3032">
        <w:rPr>
          <w:rFonts w:asciiTheme="majorHAnsi" w:hAnsiTheme="majorHAnsi"/>
          <w:sz w:val="20"/>
          <w:szCs w:val="20"/>
        </w:rPr>
        <w:t xml:space="preserve"> any or all proposals in the best interest of the System.</w:t>
      </w:r>
    </w:p>
    <w:p w14:paraId="60A60FFC" w14:textId="17299836" w:rsidR="00BE3032" w:rsidRPr="00BE3032" w:rsidRDefault="00BE3032" w:rsidP="00BE3032">
      <w:pPr>
        <w:jc w:val="both"/>
        <w:rPr>
          <w:rFonts w:asciiTheme="majorHAnsi" w:hAnsiTheme="majorHAnsi"/>
          <w:bCs/>
          <w:color w:val="000000"/>
          <w:sz w:val="20"/>
          <w:szCs w:val="20"/>
        </w:rPr>
      </w:pPr>
      <w:r w:rsidRPr="00BE3032">
        <w:rPr>
          <w:rFonts w:asciiTheme="majorHAnsi" w:hAnsiTheme="majorHAnsi"/>
          <w:sz w:val="20"/>
          <w:szCs w:val="20"/>
        </w:rPr>
        <w:t xml:space="preserve">All questions should be directed </w:t>
      </w:r>
      <w:r w:rsidRPr="00BE3032">
        <w:rPr>
          <w:rFonts w:asciiTheme="majorHAnsi" w:hAnsiTheme="majorHAnsi"/>
          <w:bCs/>
          <w:sz w:val="20"/>
          <w:szCs w:val="20"/>
        </w:rPr>
        <w:t>via email to the following</w:t>
      </w:r>
      <w:r w:rsidRPr="00BE3032">
        <w:rPr>
          <w:rFonts w:asciiTheme="majorHAnsi" w:hAnsiTheme="majorHAnsi"/>
          <w:sz w:val="20"/>
          <w:szCs w:val="20"/>
        </w:rPr>
        <w:t xml:space="preserve"> contact (no phone calls please).  </w:t>
      </w:r>
      <w:bookmarkStart w:id="2" w:name="_Hlk164353548"/>
      <w:r w:rsidRPr="00BE3032">
        <w:rPr>
          <w:rFonts w:asciiTheme="majorHAnsi" w:hAnsiTheme="majorHAnsi"/>
          <w:b/>
          <w:bCs/>
          <w:sz w:val="20"/>
          <w:szCs w:val="20"/>
        </w:rPr>
        <w:t xml:space="preserve">Proposals must be submitted to </w:t>
      </w:r>
      <w:hyperlink r:id="rId11" w:history="1">
        <w:r w:rsidRPr="00BE3032">
          <w:rPr>
            <w:rStyle w:val="Hyperlink"/>
            <w:rFonts w:asciiTheme="majorHAnsi" w:hAnsiTheme="majorHAnsi"/>
            <w:b/>
            <w:bCs/>
            <w:color w:val="auto"/>
            <w:sz w:val="20"/>
            <w:szCs w:val="20"/>
          </w:rPr>
          <w:t>MWRASearch@nepc.com</w:t>
        </w:r>
      </w:hyperlink>
      <w:r w:rsidRPr="00BE3032">
        <w:rPr>
          <w:rFonts w:asciiTheme="majorHAnsi" w:hAnsiTheme="majorHAnsi"/>
          <w:b/>
          <w:bCs/>
          <w:sz w:val="20"/>
          <w:szCs w:val="20"/>
        </w:rPr>
        <w:t xml:space="preserve"> by 5</w:t>
      </w:r>
      <w:r w:rsidRPr="00BE3032">
        <w:rPr>
          <w:rFonts w:asciiTheme="majorHAnsi" w:hAnsiTheme="majorHAnsi"/>
          <w:b/>
          <w:bCs/>
          <w:color w:val="000000"/>
          <w:sz w:val="20"/>
          <w:szCs w:val="20"/>
        </w:rPr>
        <w:t xml:space="preserve">:00 pm EDT, on </w:t>
      </w:r>
      <w:r w:rsidR="003B7652">
        <w:rPr>
          <w:rFonts w:asciiTheme="majorHAnsi" w:hAnsiTheme="majorHAnsi"/>
          <w:b/>
          <w:bCs/>
          <w:color w:val="000000"/>
          <w:sz w:val="20"/>
          <w:szCs w:val="20"/>
        </w:rPr>
        <w:t>June 11</w:t>
      </w:r>
      <w:r w:rsidR="00832794" w:rsidRPr="00832794">
        <w:rPr>
          <w:rFonts w:asciiTheme="majorHAnsi" w:hAnsiTheme="majorHAnsi"/>
          <w:b/>
          <w:bCs/>
          <w:color w:val="000000"/>
          <w:sz w:val="20"/>
          <w:szCs w:val="20"/>
          <w:vertAlign w:val="superscript"/>
        </w:rPr>
        <w:t>th</w:t>
      </w:r>
      <w:r w:rsidRPr="00BE3032">
        <w:rPr>
          <w:rFonts w:asciiTheme="majorHAnsi" w:hAnsiTheme="majorHAnsi"/>
          <w:b/>
          <w:bCs/>
          <w:color w:val="000000"/>
          <w:sz w:val="20"/>
          <w:szCs w:val="20"/>
        </w:rPr>
        <w:t>, 202</w:t>
      </w:r>
      <w:r w:rsidR="00832794">
        <w:rPr>
          <w:rFonts w:asciiTheme="majorHAnsi" w:hAnsiTheme="majorHAnsi"/>
          <w:b/>
          <w:bCs/>
          <w:color w:val="000000"/>
          <w:sz w:val="20"/>
          <w:szCs w:val="20"/>
        </w:rPr>
        <w:t>5</w:t>
      </w:r>
      <w:r w:rsidRPr="00BE3032">
        <w:rPr>
          <w:rFonts w:asciiTheme="majorHAnsi" w:hAnsiTheme="majorHAnsi"/>
          <w:b/>
          <w:bCs/>
          <w:color w:val="000000"/>
          <w:sz w:val="20"/>
          <w:szCs w:val="20"/>
        </w:rPr>
        <w:t>.</w:t>
      </w:r>
      <w:r w:rsidRPr="00BE3032">
        <w:rPr>
          <w:rFonts w:asciiTheme="majorHAnsi" w:hAnsiTheme="majorHAnsi"/>
          <w:bCs/>
          <w:color w:val="000000"/>
          <w:sz w:val="20"/>
          <w:szCs w:val="20"/>
        </w:rPr>
        <w:t xml:space="preserve"> Proposals received after the deadline will not be considered.</w:t>
      </w:r>
      <w:bookmarkEnd w:id="2"/>
    </w:p>
    <w:p w14:paraId="17386070" w14:textId="77777777" w:rsidR="00BE3032" w:rsidRPr="00BE3032" w:rsidRDefault="00BE3032" w:rsidP="00BE3032">
      <w:pPr>
        <w:pStyle w:val="BodyText"/>
        <w:tabs>
          <w:tab w:val="left" w:pos="6480"/>
          <w:tab w:val="left" w:pos="7200"/>
        </w:tabs>
        <w:ind w:right="540"/>
        <w:jc w:val="left"/>
        <w:rPr>
          <w:rFonts w:asciiTheme="majorHAnsi" w:hAnsiTheme="majorHAnsi"/>
          <w:sz w:val="20"/>
          <w:szCs w:val="20"/>
        </w:rPr>
      </w:pPr>
      <w:r w:rsidRPr="00BE3032">
        <w:rPr>
          <w:rFonts w:asciiTheme="majorHAnsi" w:hAnsiTheme="majorHAnsi"/>
          <w:sz w:val="20"/>
          <w:szCs w:val="20"/>
        </w:rPr>
        <w:t>MWRA Search</w:t>
      </w:r>
    </w:p>
    <w:p w14:paraId="68D868AD" w14:textId="77777777" w:rsidR="00BE3032" w:rsidRPr="00BE3032" w:rsidRDefault="00BE3032" w:rsidP="00BE3032">
      <w:pPr>
        <w:pStyle w:val="BodyText"/>
        <w:tabs>
          <w:tab w:val="left" w:pos="6480"/>
          <w:tab w:val="left" w:pos="7200"/>
        </w:tabs>
        <w:ind w:right="540"/>
        <w:jc w:val="left"/>
        <w:rPr>
          <w:rFonts w:asciiTheme="majorHAnsi" w:hAnsiTheme="majorHAnsi"/>
          <w:sz w:val="20"/>
          <w:szCs w:val="20"/>
        </w:rPr>
      </w:pPr>
      <w:r w:rsidRPr="00BE3032">
        <w:rPr>
          <w:rFonts w:asciiTheme="majorHAnsi" w:hAnsiTheme="majorHAnsi"/>
          <w:sz w:val="20"/>
          <w:szCs w:val="20"/>
        </w:rPr>
        <w:t>NEPC, LLC</w:t>
      </w:r>
    </w:p>
    <w:p w14:paraId="1C326C5B" w14:textId="0E43245F" w:rsidR="00BE3032" w:rsidRPr="00BE3032" w:rsidRDefault="00BE3032" w:rsidP="00832794">
      <w:pPr>
        <w:pStyle w:val="BodyText"/>
        <w:tabs>
          <w:tab w:val="left" w:pos="6480"/>
          <w:tab w:val="left" w:pos="7200"/>
        </w:tabs>
        <w:ind w:right="540"/>
        <w:jc w:val="left"/>
        <w:rPr>
          <w:rFonts w:asciiTheme="majorHAnsi" w:hAnsiTheme="majorHAnsi"/>
          <w:sz w:val="20"/>
          <w:szCs w:val="20"/>
        </w:rPr>
      </w:pPr>
      <w:hyperlink r:id="rId12" w:history="1">
        <w:r w:rsidRPr="00BE3032">
          <w:rPr>
            <w:rStyle w:val="Hyperlink"/>
            <w:rFonts w:asciiTheme="majorHAnsi" w:hAnsiTheme="majorHAnsi"/>
            <w:sz w:val="20"/>
            <w:szCs w:val="20"/>
          </w:rPr>
          <w:t>MWRAsearch@nepc.com</w:t>
        </w:r>
      </w:hyperlink>
    </w:p>
    <w:sectPr w:rsidR="00BE3032" w:rsidRPr="00BE3032" w:rsidSect="00BE3032">
      <w:pgSz w:w="12240" w:h="15840"/>
      <w:pgMar w:top="1008" w:right="1440" w:bottom="1152"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29897" w14:textId="77777777" w:rsidR="00482047" w:rsidRDefault="00482047" w:rsidP="00482047">
      <w:pPr>
        <w:spacing w:after="0" w:line="240" w:lineRule="auto"/>
      </w:pPr>
      <w:r>
        <w:separator/>
      </w:r>
    </w:p>
  </w:endnote>
  <w:endnote w:type="continuationSeparator" w:id="0">
    <w:p w14:paraId="5DD79856" w14:textId="77777777" w:rsidR="00482047" w:rsidRDefault="00482047" w:rsidP="0048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FEE5" w14:textId="77777777" w:rsidR="00482047" w:rsidRDefault="00482047" w:rsidP="00482047">
      <w:pPr>
        <w:spacing w:after="0" w:line="240" w:lineRule="auto"/>
      </w:pPr>
      <w:r>
        <w:separator/>
      </w:r>
    </w:p>
  </w:footnote>
  <w:footnote w:type="continuationSeparator" w:id="0">
    <w:p w14:paraId="200C5DFE" w14:textId="77777777" w:rsidR="00482047" w:rsidRDefault="00482047" w:rsidP="00482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17811"/>
    <w:multiLevelType w:val="hybridMultilevel"/>
    <w:tmpl w:val="8946CC50"/>
    <w:lvl w:ilvl="0" w:tplc="B97A1E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89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D306D7"/>
    <w:rsid w:val="000604C0"/>
    <w:rsid w:val="000B1999"/>
    <w:rsid w:val="000F2768"/>
    <w:rsid w:val="000F55AD"/>
    <w:rsid w:val="001339DD"/>
    <w:rsid w:val="00185AF4"/>
    <w:rsid w:val="00204062"/>
    <w:rsid w:val="002069AE"/>
    <w:rsid w:val="002E5C0C"/>
    <w:rsid w:val="003043B3"/>
    <w:rsid w:val="00337792"/>
    <w:rsid w:val="0034719A"/>
    <w:rsid w:val="00361E78"/>
    <w:rsid w:val="00370BF7"/>
    <w:rsid w:val="00371511"/>
    <w:rsid w:val="00392D26"/>
    <w:rsid w:val="003B02F0"/>
    <w:rsid w:val="003B71A5"/>
    <w:rsid w:val="003B7652"/>
    <w:rsid w:val="004274D2"/>
    <w:rsid w:val="00453AE8"/>
    <w:rsid w:val="00482047"/>
    <w:rsid w:val="005045D1"/>
    <w:rsid w:val="005A3507"/>
    <w:rsid w:val="005A6144"/>
    <w:rsid w:val="005F6DCB"/>
    <w:rsid w:val="00646C7F"/>
    <w:rsid w:val="006B0808"/>
    <w:rsid w:val="0071466E"/>
    <w:rsid w:val="00721E81"/>
    <w:rsid w:val="00721F2E"/>
    <w:rsid w:val="00732B3A"/>
    <w:rsid w:val="007B1E01"/>
    <w:rsid w:val="007B7453"/>
    <w:rsid w:val="007D34F4"/>
    <w:rsid w:val="007E6ABF"/>
    <w:rsid w:val="008149F0"/>
    <w:rsid w:val="00832794"/>
    <w:rsid w:val="0088372B"/>
    <w:rsid w:val="008C547C"/>
    <w:rsid w:val="008E4462"/>
    <w:rsid w:val="009166EE"/>
    <w:rsid w:val="00A0316E"/>
    <w:rsid w:val="00AD1661"/>
    <w:rsid w:val="00B61B0F"/>
    <w:rsid w:val="00BB2EDD"/>
    <w:rsid w:val="00BD4D6F"/>
    <w:rsid w:val="00BE3032"/>
    <w:rsid w:val="00BE5C51"/>
    <w:rsid w:val="00C25DC2"/>
    <w:rsid w:val="00CA5A96"/>
    <w:rsid w:val="00CE4FA4"/>
    <w:rsid w:val="00CF39F1"/>
    <w:rsid w:val="00D221E6"/>
    <w:rsid w:val="00D306D7"/>
    <w:rsid w:val="00D92DFB"/>
    <w:rsid w:val="00DB3B23"/>
    <w:rsid w:val="00E23DC2"/>
    <w:rsid w:val="00E27F1B"/>
    <w:rsid w:val="00EB42EA"/>
    <w:rsid w:val="00EC2C68"/>
    <w:rsid w:val="00F400F7"/>
    <w:rsid w:val="00F5449C"/>
    <w:rsid w:val="00F7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7948"/>
  <w15:chartTrackingRefBased/>
  <w15:docId w15:val="{BEE4896A-91A3-406A-B6B1-104F47BA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511"/>
    <w:pPr>
      <w:ind w:left="720"/>
      <w:contextualSpacing/>
    </w:pPr>
  </w:style>
  <w:style w:type="paragraph" w:styleId="BodyText">
    <w:name w:val="Body Text"/>
    <w:basedOn w:val="Normal"/>
    <w:link w:val="BodyTextChar"/>
    <w:rsid w:val="00D306D7"/>
    <w:pPr>
      <w:spacing w:after="0" w:line="240" w:lineRule="auto"/>
      <w:ind w:right="4320"/>
      <w:jc w:val="both"/>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D306D7"/>
    <w:rPr>
      <w:rFonts w:ascii="Times New Roman" w:eastAsia="Times New Roman" w:hAnsi="Times New Roman" w:cs="Times New Roman"/>
      <w:sz w:val="24"/>
      <w:szCs w:val="18"/>
    </w:rPr>
  </w:style>
  <w:style w:type="character" w:styleId="Hyperlink">
    <w:name w:val="Hyperlink"/>
    <w:basedOn w:val="DefaultParagraphFont"/>
    <w:rsid w:val="00D306D7"/>
    <w:rPr>
      <w:color w:val="0000FF"/>
      <w:u w:val="single"/>
    </w:rPr>
  </w:style>
  <w:style w:type="character" w:styleId="UnresolvedMention">
    <w:name w:val="Unresolved Mention"/>
    <w:basedOn w:val="DefaultParagraphFont"/>
    <w:uiPriority w:val="99"/>
    <w:semiHidden/>
    <w:unhideWhenUsed/>
    <w:rsid w:val="005A6144"/>
    <w:rPr>
      <w:color w:val="605E5C"/>
      <w:shd w:val="clear" w:color="auto" w:fill="E1DFDD"/>
    </w:rPr>
  </w:style>
  <w:style w:type="character" w:styleId="CommentReference">
    <w:name w:val="annotation reference"/>
    <w:basedOn w:val="DefaultParagraphFont"/>
    <w:uiPriority w:val="99"/>
    <w:semiHidden/>
    <w:unhideWhenUsed/>
    <w:rsid w:val="003B71A5"/>
    <w:rPr>
      <w:sz w:val="16"/>
      <w:szCs w:val="16"/>
    </w:rPr>
  </w:style>
  <w:style w:type="paragraph" w:styleId="CommentText">
    <w:name w:val="annotation text"/>
    <w:basedOn w:val="Normal"/>
    <w:link w:val="CommentTextChar"/>
    <w:uiPriority w:val="99"/>
    <w:semiHidden/>
    <w:unhideWhenUsed/>
    <w:rsid w:val="003B71A5"/>
    <w:pPr>
      <w:spacing w:line="240" w:lineRule="auto"/>
    </w:pPr>
    <w:rPr>
      <w:sz w:val="20"/>
      <w:szCs w:val="20"/>
    </w:rPr>
  </w:style>
  <w:style w:type="character" w:customStyle="1" w:styleId="CommentTextChar">
    <w:name w:val="Comment Text Char"/>
    <w:basedOn w:val="DefaultParagraphFont"/>
    <w:link w:val="CommentText"/>
    <w:uiPriority w:val="99"/>
    <w:semiHidden/>
    <w:rsid w:val="003B71A5"/>
    <w:rPr>
      <w:sz w:val="20"/>
      <w:szCs w:val="20"/>
    </w:rPr>
  </w:style>
  <w:style w:type="paragraph" w:styleId="CommentSubject">
    <w:name w:val="annotation subject"/>
    <w:basedOn w:val="CommentText"/>
    <w:next w:val="CommentText"/>
    <w:link w:val="CommentSubjectChar"/>
    <w:uiPriority w:val="99"/>
    <w:semiHidden/>
    <w:unhideWhenUsed/>
    <w:rsid w:val="003B71A5"/>
    <w:rPr>
      <w:b/>
      <w:bCs/>
    </w:rPr>
  </w:style>
  <w:style w:type="character" w:customStyle="1" w:styleId="CommentSubjectChar">
    <w:name w:val="Comment Subject Char"/>
    <w:basedOn w:val="CommentTextChar"/>
    <w:link w:val="CommentSubject"/>
    <w:uiPriority w:val="99"/>
    <w:semiHidden/>
    <w:rsid w:val="003B71A5"/>
    <w:rPr>
      <w:b/>
      <w:bCs/>
      <w:sz w:val="20"/>
      <w:szCs w:val="20"/>
    </w:rPr>
  </w:style>
  <w:style w:type="paragraph" w:styleId="BalloonText">
    <w:name w:val="Balloon Text"/>
    <w:basedOn w:val="Normal"/>
    <w:link w:val="BalloonTextChar"/>
    <w:uiPriority w:val="99"/>
    <w:semiHidden/>
    <w:unhideWhenUsed/>
    <w:rsid w:val="003B7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1A5"/>
    <w:rPr>
      <w:rFonts w:ascii="Segoe UI" w:hAnsi="Segoe UI" w:cs="Segoe UI"/>
      <w:sz w:val="18"/>
      <w:szCs w:val="18"/>
    </w:rPr>
  </w:style>
  <w:style w:type="paragraph" w:styleId="Header">
    <w:name w:val="header"/>
    <w:basedOn w:val="Normal"/>
    <w:link w:val="HeaderChar"/>
    <w:uiPriority w:val="99"/>
    <w:unhideWhenUsed/>
    <w:rsid w:val="0048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47"/>
  </w:style>
  <w:style w:type="paragraph" w:styleId="Footer">
    <w:name w:val="footer"/>
    <w:basedOn w:val="Normal"/>
    <w:link w:val="FooterChar"/>
    <w:uiPriority w:val="99"/>
    <w:unhideWhenUsed/>
    <w:rsid w:val="0048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47"/>
  </w:style>
  <w:style w:type="character" w:styleId="FollowedHyperlink">
    <w:name w:val="FollowedHyperlink"/>
    <w:basedOn w:val="DefaultParagraphFont"/>
    <w:uiPriority w:val="99"/>
    <w:semiHidden/>
    <w:unhideWhenUsed/>
    <w:rsid w:val="000F55AD"/>
    <w:rPr>
      <w:color w:val="70CFF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SessionLaws/Acts/2011/Chapter1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mccallum@nep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RASearch@nepc.com" TargetMode="External"/><Relationship Id="rId5" Type="http://schemas.openxmlformats.org/officeDocument/2006/relationships/webSettings" Target="webSettings.xml"/><Relationship Id="rId10" Type="http://schemas.openxmlformats.org/officeDocument/2006/relationships/hyperlink" Target="http://www.nepc.com/institutional/investment-managers/" TargetMode="External"/><Relationship Id="rId4" Type="http://schemas.openxmlformats.org/officeDocument/2006/relationships/settings" Target="settings.xml"/><Relationship Id="rId9" Type="http://schemas.openxmlformats.org/officeDocument/2006/relationships/hyperlink" Target="https://malegislature.gov/Laws/GeneralLaws/PartI/TitleIV/Chapter32" TargetMode="External"/><Relationship Id="rId14" Type="http://schemas.openxmlformats.org/officeDocument/2006/relationships/theme" Target="theme/theme1.xml"/></Relationships>
</file>

<file path=word/theme/theme1.xml><?xml version="1.0" encoding="utf-8"?>
<a:theme xmlns:a="http://schemas.openxmlformats.org/drawingml/2006/main" name="NEPC 2021">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A00B-F6E1-4FA2-990C-31C9D744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Kiley</dc:creator>
  <cp:keywords/>
  <dc:description/>
  <cp:lastModifiedBy>Lazzari, Ashlee</cp:lastModifiedBy>
  <cp:revision>2</cp:revision>
  <cp:lastPrinted>2021-12-14T14:35:00Z</cp:lastPrinted>
  <dcterms:created xsi:type="dcterms:W3CDTF">2025-05-30T15:20:00Z</dcterms:created>
  <dcterms:modified xsi:type="dcterms:W3CDTF">2025-05-30T15:20:00Z</dcterms:modified>
</cp:coreProperties>
</file>